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4</w:t>
      </w:r>
      <w:r>
        <w:t xml:space="preserve">, Andrew J. Belli</w:t>
      </w:r>
      <w:r>
        <w:rPr>
          <w:vertAlign w:val="superscript"/>
        </w:rPr>
        <w:t xml:space="preserve">5</w:t>
      </w:r>
      <w:r>
        <w:t xml:space="preserve">, Ching-Kun Wang</w:t>
      </w:r>
      <w:r>
        <w:rPr>
          <w:vertAlign w:val="superscript"/>
        </w:rPr>
        <w:t xml:space="preserve">5</w:t>
      </w:r>
      <w:r>
        <w:t xml:space="preserve">, Jenna Collins</w:t>
      </w:r>
      <w:r>
        <w:rPr>
          <w:vertAlign w:val="superscript"/>
        </w:rPr>
        <w:t xml:space="preserve">6</w:t>
      </w:r>
      <w:r>
        <w:rPr>
          <w:b/>
          <w:bCs/>
        </w:rPr>
        <w:t xml:space="preserve">,</w:t>
      </w:r>
      <w:r>
        <w:t xml:space="preserve"> </w:t>
      </w:r>
      <w:r>
        <w:t xml:space="preserve">JonathanKish</w:t>
      </w:r>
      <w:r>
        <w:rPr>
          <w:vertAlign w:val="superscript"/>
        </w:rPr>
        <w:t xml:space="preserve">6</w:t>
      </w:r>
      <w:r>
        <w:rPr>
          <w:b/>
          <w:bCs/>
        </w:rPr>
        <w:t xml:space="preserve">,</w:t>
      </w:r>
      <w:r>
        <w:t xml:space="preserve"> </w:t>
      </w:r>
      <w:r>
        <w:t xml:space="preserve">Janet Espirito</w:t>
      </w:r>
      <w:r>
        <w:rPr>
          <w:vertAlign w:val="superscript"/>
        </w:rPr>
        <w:t xml:space="preserve">7</w:t>
      </w:r>
      <w:r>
        <w:t xml:space="preserve">, Nicholas J Robert</w:t>
      </w:r>
      <w:r>
        <w:rPr>
          <w:vertAlign w:val="superscript"/>
        </w:rPr>
        <w:t xml:space="preserve">7</w:t>
      </w:r>
      <w:r>
        <w:t xml:space="preserve">, Robert J. Glynn</w:t>
      </w:r>
      <w:r>
        <w:rPr>
          <w:vertAlign w:val="superscript"/>
        </w:rPr>
        <w:t xml:space="preserve">1</w:t>
      </w:r>
      <w:r>
        <w:t xml:space="preserve"> </w:t>
      </w:r>
      <w:r>
        <w:t xml:space="preserve">,Sebastian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ConcertAI, Cambridge, MA, USA</w:t>
      </w:r>
    </w:p>
    <w:p>
      <w:pPr>
        <w:pStyle w:val="BodyText"/>
      </w:pPr>
      <w:r>
        <w:rPr>
          <w:vertAlign w:val="superscript"/>
        </w:rPr>
        <w:t xml:space="preserve">5</w:t>
      </w:r>
      <w:r>
        <w:t xml:space="preserve"> </w:t>
      </w:r>
      <w:r>
        <w:t xml:space="preserve">COTA, Inc., New York, NY, USA</w:t>
      </w:r>
    </w:p>
    <w:p>
      <w:pPr>
        <w:pStyle w:val="BodyText"/>
      </w:pPr>
      <w:r>
        <w:rPr>
          <w:vertAlign w:val="superscript"/>
        </w:rPr>
        <w:t xml:space="preserve">6</w:t>
      </w:r>
      <w:r>
        <w:t xml:space="preserve"> </w:t>
      </w:r>
      <w:r>
        <w:t xml:space="preserve">Flatiron Health, Inc., New York, NY, USA</w:t>
      </w:r>
    </w:p>
    <w:p>
      <w:pPr>
        <w:pStyle w:val="BodyText"/>
      </w:pPr>
      <w:r>
        <w:rPr>
          <w:vertAlign w:val="superscript"/>
        </w:rPr>
        <w:t xml:space="preserve">7</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2025-02-26 23:06:46.217877</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specifically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21</w:t>
      </w:r>
      <w:r>
        <w:rPr>
          <w:vertAlign w:val="superscript"/>
        </w:rPr>
        <w:t xml:space="preserve">st</w:t>
      </w:r>
      <w:r>
        <w:t xml:space="preserve"> </w:t>
      </w:r>
      <w:r>
        <w:t xml:space="preserve">Century Cures Act directive,</w:t>
      </w:r>
      <w:r>
        <w:rPr>
          <w:vertAlign w:val="superscript"/>
        </w:rPr>
        <w:t xml:space="preserve">1</w:t>
      </w:r>
      <w:r>
        <w:t xml:space="preserve"> </w:t>
      </w:r>
      <w:r>
        <w:t xml:space="preserve">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RWE has particularly important potential to complement evidence coming from RCTs in the field of precision oncology, where potential use cases include the assessment of effectiveness in rare patient populations that are underrepresented in RCTs, the construction of external control arms in single-arm trials where active recruitment to a randomized trial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Frequently referenced limitations include missing data, small sample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w:t>
      </w:r>
      <w:r>
        <w:t xml:space="preserve">a systematic and scaled approach to emulate a diverse set of different oncology trials with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non-small cell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In addition, 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start in these settings. A key objective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data sources (in alphabetical order): ConcertAI, COTA, Flatiron Health, and Ontada/McKesson. All available databases draw from a comprehensive national sample of patients with cancer in the US with the detailed EHR-based data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many oncological RCTs in recent years have focused on selected, biomarker-defined populations, subtleties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With many trials that have followed thereafter, the operationalization of the expression of the PD-L1 biomarker in RCTs (e.g., as a percent staining, tumor proportion score or combined positive score) has also evolved,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will not be possible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as RCTs since the number of</w:t>
      </w:r>
      <w:r>
        <w:t xml:space="preserve"> </w:t>
      </w:r>
      <w:r>
        <w:t xml:space="preserve">‘recruited’</w:t>
      </w:r>
      <w:r>
        <w:t xml:space="preserve"> </w:t>
      </w:r>
      <w:r>
        <w:t xml:space="preserve">patients is given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33, 34</w:t>
      </w:r>
      <w:r>
        <w:t xml:space="preserve"> </w:t>
      </w:r>
      <w:r>
        <w:t xml:space="preserve">In brief, 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35</w:t>
      </w:r>
      <w:r>
        <w:t xml:space="preserve"> </w:t>
      </w:r>
      <w:r>
        <w:t xml:space="preserve">this will inform decisions regarding the in-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39</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40, 41</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42</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43</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44, 45</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46, 47</w:t>
      </w:r>
      <w:r>
        <w:t xml:space="preserve"> </w:t>
      </w:r>
      <w:r>
        <w:t xml:space="preserve">This approach has been shown to lead to unbiased estimates across different simulated scenarios with a sufficient estimation of the variance.</w:t>
      </w:r>
      <w:r>
        <w:rPr>
          <w:vertAlign w:val="superscript"/>
        </w:rPr>
        <w:t xml:space="preserve">44</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48</w:t>
      </w:r>
      <w:r>
        <w:t xml:space="preserve"> </w:t>
      </w:r>
      <w:r>
        <w:t xml:space="preserve">Further, we will compute the average post-matching or post-weighting C-statistics.</w:t>
      </w:r>
      <w:r>
        <w:rPr>
          <w:vertAlign w:val="superscript"/>
        </w:rPr>
        <w:t xml:space="preserve">49</w:t>
      </w:r>
      <w:r>
        <w:t xml:space="preserve"> </w:t>
      </w:r>
      <w:r>
        <w:t xml:space="preserve">In addition, we will use a published prognostic score for OS</w:t>
      </w:r>
      <w:r>
        <w:rPr>
          <w:vertAlign w:val="superscript"/>
        </w:rPr>
        <w:t xml:space="preserve">43</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50</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42</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51, 52</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based on the RCT DUPLICATE project</w:t>
      </w:r>
      <w:r>
        <w:rPr>
          <w:vertAlign w:val="superscript"/>
        </w:rPr>
        <w:t xml:space="preserve">9, 30</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data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9, 30</w:t>
      </w:r>
      <w:r>
        <w:t xml:space="preserve"> </w:t>
      </w:r>
      <w:r>
        <w:t xml:space="preserve">identified multiple emulation challenges which we expect to also encounter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will not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53</w:t>
      </w:r>
      <w:r>
        <w:t xml:space="preserve"> </w:t>
      </w:r>
      <w:r>
        <w:t xml:space="preserve">Although this is also a common challenge in the analysis of RCTs,</w:t>
      </w:r>
      <w:r>
        <w:rPr>
          <w:vertAlign w:val="superscript"/>
        </w:rPr>
        <w:t xml:space="preserve">27</w:t>
      </w:r>
      <w:r>
        <w:t xml:space="preserve"> </w:t>
      </w:r>
      <w:r>
        <w:t xml:space="preserve">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54</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40</w:t>
      </w:r>
      <w:r>
        <w:t xml:space="preserve">. Hernán MA: The hazards of hazard ratios. Epidemiology 21:13–15, 2010</w:t>
      </w:r>
    </w:p>
    <w:bookmarkEnd w:id="92"/>
    <w:bookmarkStart w:id="94" w:name="ref-stensrud2020test"/>
    <w:p>
      <w:pPr>
        <w:pStyle w:val="Bibliography"/>
      </w:pPr>
      <w:r>
        <w:rPr>
          <w:b/>
          <w:bCs/>
        </w:rPr>
        <w:t xml:space="preserve">41</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42</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43</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44</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45</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46</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47</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48</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49</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50</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51</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52</w:t>
      </w:r>
      <w:r>
        <w:t xml:space="preserve">. Morisot A, Bessaoud F, Landais P, et al: Prostate cancer: Net survival and cause-specific survival rates after multiple imputation. BMC medical research methodology 15:1–14, 2015</w:t>
      </w:r>
    </w:p>
    <w:bookmarkEnd w:id="106"/>
    <w:bookmarkStart w:id="107" w:name="ref-manitz2022estimands"/>
    <w:p>
      <w:pPr>
        <w:pStyle w:val="Bibliography"/>
      </w:pPr>
      <w:r>
        <w:rPr>
          <w:b/>
          <w:bCs/>
        </w:rPr>
        <w:t xml:space="preserve">53</w:t>
      </w:r>
      <w:r>
        <w:t xml:space="preserve">. Manitz J, Kan-Dobrosky N, Buchner H, et al: Estimands for overall survival in clinical trials with treatment switching in oncology. Pharmaceutical Statistics 21:150–162, 2022</w:t>
      </w:r>
    </w:p>
    <w:bookmarkEnd w:id="107"/>
    <w:bookmarkStart w:id="108" w:name="ref-gaber2024mystifying"/>
    <w:p>
      <w:pPr>
        <w:pStyle w:val="Bibliography"/>
      </w:pPr>
      <w:r>
        <w:rPr>
          <w:b/>
          <w:bCs/>
        </w:rPr>
        <w:t xml:space="preserve">54</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3467100"/>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3467100"/>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4091178"/>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4091178"/>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381887"/>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381887"/>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5943600" cy="5942114"/>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5943600" cy="5942114"/>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20"/>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20"/>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2025-02-26T22:07:32Z</dcterms:created>
  <dcterms:modified xsi:type="dcterms:W3CDTF">2025-02-26T22:07:32Z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